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CBD6" w14:textId="0C7A3A4F" w:rsidR="007E7067" w:rsidRPr="007E7067" w:rsidRDefault="007E7067" w:rsidP="007E7067">
      <w:pPr>
        <w:spacing w:before="240" w:after="40" w:line="240" w:lineRule="auto"/>
        <w:outlineLvl w:val="3"/>
        <w:rPr>
          <w:rFonts w:eastAsia="Times New Roman" w:cs="Times New Roman"/>
          <w:b/>
          <w:bCs/>
          <w:color w:val="215E99" w:themeColor="text2" w:themeTint="BF"/>
          <w:kern w:val="0"/>
          <w:sz w:val="28"/>
          <w:szCs w:val="28"/>
          <w14:ligatures w14:val="none"/>
        </w:rPr>
      </w:pPr>
      <w:r w:rsidRPr="007E7067">
        <w:rPr>
          <w:rFonts w:eastAsia="Times New Roman" w:cs="Times New Roman"/>
          <w:b/>
          <w:bCs/>
          <w:color w:val="215E99" w:themeColor="text2" w:themeTint="BF"/>
          <w:kern w:val="0"/>
          <w:sz w:val="28"/>
          <w:szCs w:val="28"/>
          <w14:ligatures w14:val="none"/>
        </w:rPr>
        <w:t xml:space="preserve">What can the Blueprint of life </w:t>
      </w:r>
      <w:r w:rsidRPr="009927C7">
        <w:rPr>
          <w:rFonts w:eastAsia="Times New Roman" w:cs="Times New Roman"/>
          <w:b/>
          <w:bCs/>
          <w:color w:val="215E99" w:themeColor="text2" w:themeTint="BF"/>
          <w:kern w:val="0"/>
          <w:sz w:val="28"/>
          <w:szCs w:val="28"/>
          <w14:ligatures w14:val="none"/>
        </w:rPr>
        <w:t>teach</w:t>
      </w:r>
      <w:r w:rsidRPr="007E7067">
        <w:rPr>
          <w:rFonts w:eastAsia="Times New Roman" w:cs="Times New Roman"/>
          <w:b/>
          <w:bCs/>
          <w:color w:val="215E99" w:themeColor="text2" w:themeTint="BF"/>
          <w:kern w:val="0"/>
          <w:sz w:val="28"/>
          <w:szCs w:val="28"/>
          <w14:ligatures w14:val="none"/>
        </w:rPr>
        <w:t xml:space="preserve"> us about organismal complexity</w:t>
      </w:r>
      <w:r w:rsidRPr="009927C7">
        <w:rPr>
          <w:rFonts w:eastAsia="Times New Roman" w:cs="Times New Roman"/>
          <w:b/>
          <w:bCs/>
          <w:color w:val="215E99" w:themeColor="text2" w:themeTint="BF"/>
          <w:kern w:val="0"/>
          <w:sz w:val="28"/>
          <w:szCs w:val="28"/>
          <w14:ligatures w14:val="none"/>
        </w:rPr>
        <w:t xml:space="preserve"> and development</w:t>
      </w:r>
      <w:r w:rsidRPr="007E7067">
        <w:rPr>
          <w:rFonts w:eastAsia="Times New Roman" w:cs="Times New Roman"/>
          <w:b/>
          <w:bCs/>
          <w:color w:val="215E99" w:themeColor="text2" w:themeTint="BF"/>
          <w:kern w:val="0"/>
          <w:sz w:val="28"/>
          <w:szCs w:val="28"/>
          <w14:ligatures w14:val="none"/>
        </w:rPr>
        <w:t>? </w:t>
      </w:r>
    </w:p>
    <w:p w14:paraId="41229741" w14:textId="77777777" w:rsidR="007E7067" w:rsidRPr="00FA3384" w:rsidRDefault="007E7067" w:rsidP="007E7067">
      <w:pPr>
        <w:spacing w:after="0" w:line="240" w:lineRule="auto"/>
        <w:rPr>
          <w:rFonts w:eastAsia="Times New Roman" w:cs="Times New Roman"/>
          <w:kern w:val="0"/>
          <w14:ligatures w14:val="none"/>
        </w:rPr>
      </w:pPr>
    </w:p>
    <w:p w14:paraId="58C29A5F" w14:textId="77777777" w:rsidR="00FA3384" w:rsidRPr="00FA3384" w:rsidRDefault="00FA3384" w:rsidP="00FA3384">
      <w:pPr>
        <w:pStyle w:val="NormalWeb"/>
        <w:rPr>
          <w:rFonts w:asciiTheme="minorHAnsi" w:hAnsiTheme="minorHAnsi"/>
        </w:rPr>
      </w:pPr>
      <w:r w:rsidRPr="00FA3384">
        <w:rPr>
          <w:rFonts w:asciiTheme="minorHAnsi" w:hAnsiTheme="minorHAnsi"/>
        </w:rPr>
        <w:t xml:space="preserve">Thus far, we’ve discussed how the Blueprint of Life’s multi-omics approach allows us to move beyond a simple “parts list” of life and instead reveal how those parts interact to build, shape, and diversify living systems. What we haven’t yet demonstrated is what this approach can teach us about </w:t>
      </w:r>
      <w:r w:rsidRPr="00FA3384">
        <w:rPr>
          <w:rStyle w:val="Emphasis"/>
          <w:rFonts w:asciiTheme="minorHAnsi" w:eastAsiaTheme="majorEastAsia" w:hAnsiTheme="minorHAnsi"/>
        </w:rPr>
        <w:t>development</w:t>
      </w:r>
      <w:r w:rsidRPr="00FA3384">
        <w:rPr>
          <w:rFonts w:asciiTheme="minorHAnsi" w:hAnsiTheme="minorHAnsi"/>
        </w:rPr>
        <w:t xml:space="preserve"> itself.</w:t>
      </w:r>
    </w:p>
    <w:p w14:paraId="3CA90368" w14:textId="5EEFE523" w:rsidR="00FA3384" w:rsidRPr="00FA3384" w:rsidRDefault="00FA3384" w:rsidP="00FA3384">
      <w:pPr>
        <w:pStyle w:val="NormalWeb"/>
        <w:rPr>
          <w:rFonts w:asciiTheme="minorHAnsi" w:hAnsiTheme="minorHAnsi"/>
        </w:rPr>
      </w:pPr>
      <w:r w:rsidRPr="00FA3384">
        <w:rPr>
          <w:rFonts w:asciiTheme="minorHAnsi" w:hAnsiTheme="minorHAnsi"/>
        </w:rPr>
        <w:t xml:space="preserve">If you’ve ever heard the phrase </w:t>
      </w:r>
      <w:r w:rsidRPr="00FA3384">
        <w:rPr>
          <w:rStyle w:val="Emphasis"/>
          <w:rFonts w:asciiTheme="minorHAnsi" w:eastAsiaTheme="majorEastAsia" w:hAnsiTheme="minorHAnsi"/>
        </w:rPr>
        <w:t>“butterfly soup”</w:t>
      </w:r>
      <w:r w:rsidRPr="00FA3384">
        <w:rPr>
          <w:rFonts w:asciiTheme="minorHAnsi" w:hAnsiTheme="minorHAnsi"/>
        </w:rPr>
        <w:t>, it refers to the remarkable stage of metamorphosis when a caterpillar inside its cocoon dissolves into a semi-liquid state and reorganizes into a butterfly. It’s one of the most dramatic transformations in biology</w:t>
      </w:r>
      <w:r>
        <w:rPr>
          <w:rFonts w:asciiTheme="minorHAnsi" w:hAnsiTheme="minorHAnsi"/>
        </w:rPr>
        <w:t xml:space="preserve">, </w:t>
      </w:r>
      <w:r w:rsidRPr="00FA3384">
        <w:rPr>
          <w:rFonts w:asciiTheme="minorHAnsi" w:hAnsiTheme="minorHAnsi"/>
        </w:rPr>
        <w:t>and a critical window for studying how genes orchestrate form, color, and function.</w:t>
      </w:r>
    </w:p>
    <w:p w14:paraId="3AF47EE7" w14:textId="77777777" w:rsidR="00FA3384" w:rsidRPr="00FA3384" w:rsidRDefault="00FA3384" w:rsidP="00FA3384">
      <w:pPr>
        <w:pStyle w:val="NormalWeb"/>
        <w:rPr>
          <w:rFonts w:asciiTheme="minorHAnsi" w:hAnsiTheme="minorHAnsi"/>
        </w:rPr>
      </w:pPr>
      <w:r w:rsidRPr="00FA3384">
        <w:rPr>
          <w:rFonts w:asciiTheme="minorHAnsi" w:hAnsiTheme="minorHAnsi"/>
        </w:rPr>
        <w:t xml:space="preserve">By comparing the genomic architecture of </w:t>
      </w:r>
      <w:proofErr w:type="spellStart"/>
      <w:r w:rsidRPr="00FA3384">
        <w:rPr>
          <w:rStyle w:val="Emphasis"/>
          <w:rFonts w:asciiTheme="minorHAnsi" w:eastAsiaTheme="majorEastAsia" w:hAnsiTheme="minorHAnsi"/>
        </w:rPr>
        <w:t>Heliconius</w:t>
      </w:r>
      <w:proofErr w:type="spellEnd"/>
      <w:r w:rsidRPr="00FA3384">
        <w:rPr>
          <w:rStyle w:val="Emphasis"/>
          <w:rFonts w:asciiTheme="minorHAnsi" w:eastAsiaTheme="majorEastAsia" w:hAnsiTheme="minorHAnsi"/>
        </w:rPr>
        <w:t xml:space="preserve"> </w:t>
      </w:r>
      <w:proofErr w:type="spellStart"/>
      <w:r w:rsidRPr="00FA3384">
        <w:rPr>
          <w:rStyle w:val="Emphasis"/>
          <w:rFonts w:asciiTheme="minorHAnsi" w:eastAsiaTheme="majorEastAsia" w:hAnsiTheme="minorHAnsi"/>
        </w:rPr>
        <w:t>charithonia</w:t>
      </w:r>
      <w:proofErr w:type="spellEnd"/>
      <w:r w:rsidRPr="00FA3384">
        <w:rPr>
          <w:rFonts w:asciiTheme="minorHAnsi" w:hAnsiTheme="minorHAnsi"/>
        </w:rPr>
        <w:t xml:space="preserve"> and </w:t>
      </w:r>
      <w:r w:rsidRPr="00FA3384">
        <w:rPr>
          <w:rStyle w:val="Emphasis"/>
          <w:rFonts w:asciiTheme="minorHAnsi" w:eastAsiaTheme="majorEastAsia" w:hAnsiTheme="minorHAnsi"/>
        </w:rPr>
        <w:t xml:space="preserve">Danaus </w:t>
      </w:r>
      <w:proofErr w:type="spellStart"/>
      <w:r w:rsidRPr="00FA3384">
        <w:rPr>
          <w:rStyle w:val="Emphasis"/>
          <w:rFonts w:asciiTheme="minorHAnsi" w:eastAsiaTheme="majorEastAsia" w:hAnsiTheme="minorHAnsi"/>
        </w:rPr>
        <w:t>plexippus</w:t>
      </w:r>
      <w:proofErr w:type="spellEnd"/>
      <w:r w:rsidRPr="00FA3384">
        <w:rPr>
          <w:rFonts w:asciiTheme="minorHAnsi" w:hAnsiTheme="minorHAnsi"/>
        </w:rPr>
        <w:t xml:space="preserve">, we can begin to construct a developmental framework that links the timing of gene activity with the emergence of traits. This means not just identifying which genes are active, but also pinpointing </w:t>
      </w:r>
      <w:r w:rsidRPr="00FA3384">
        <w:rPr>
          <w:rStyle w:val="Emphasis"/>
          <w:rFonts w:asciiTheme="minorHAnsi" w:eastAsiaTheme="majorEastAsia" w:hAnsiTheme="minorHAnsi"/>
        </w:rPr>
        <w:t>when</w:t>
      </w:r>
      <w:r w:rsidRPr="00FA3384">
        <w:rPr>
          <w:rFonts w:asciiTheme="minorHAnsi" w:hAnsiTheme="minorHAnsi"/>
        </w:rPr>
        <w:t xml:space="preserve"> and </w:t>
      </w:r>
      <w:r w:rsidRPr="00FA3384">
        <w:rPr>
          <w:rStyle w:val="Emphasis"/>
          <w:rFonts w:asciiTheme="minorHAnsi" w:eastAsiaTheme="majorEastAsia" w:hAnsiTheme="minorHAnsi"/>
        </w:rPr>
        <w:t>where</w:t>
      </w:r>
      <w:r w:rsidRPr="00FA3384">
        <w:rPr>
          <w:rFonts w:asciiTheme="minorHAnsi" w:hAnsiTheme="minorHAnsi"/>
        </w:rPr>
        <w:t xml:space="preserve"> they switch on: When does wing color first appear? When do appendages like the thorax, antennae, and abdomen begin to take shape?</w:t>
      </w:r>
    </w:p>
    <w:p w14:paraId="50B540C1" w14:textId="77777777" w:rsidR="00FA3384" w:rsidRPr="00FA3384" w:rsidRDefault="00FA3384" w:rsidP="00FA3384">
      <w:pPr>
        <w:pStyle w:val="NormalWeb"/>
        <w:rPr>
          <w:rFonts w:asciiTheme="minorHAnsi" w:hAnsiTheme="minorHAnsi"/>
        </w:rPr>
      </w:pPr>
      <w:r w:rsidRPr="00FA3384">
        <w:rPr>
          <w:rFonts w:asciiTheme="minorHAnsi" w:hAnsiTheme="minorHAnsi"/>
        </w:rPr>
        <w:t>This comparative vision focuses on key developmental windows:</w:t>
      </w:r>
    </w:p>
    <w:p w14:paraId="548207F9" w14:textId="77777777" w:rsidR="00FA3384" w:rsidRPr="00FA3384" w:rsidRDefault="00FA3384" w:rsidP="00FA3384">
      <w:pPr>
        <w:pStyle w:val="NormalWeb"/>
        <w:numPr>
          <w:ilvl w:val="0"/>
          <w:numId w:val="2"/>
        </w:numPr>
        <w:rPr>
          <w:rFonts w:asciiTheme="minorHAnsi" w:hAnsiTheme="minorHAnsi"/>
        </w:rPr>
      </w:pPr>
      <w:r w:rsidRPr="00FA3384">
        <w:rPr>
          <w:rStyle w:val="Strong"/>
          <w:rFonts w:asciiTheme="minorHAnsi" w:eastAsiaTheme="majorEastAsia" w:hAnsiTheme="minorHAnsi"/>
        </w:rPr>
        <w:t>Specific time points</w:t>
      </w:r>
      <w:r w:rsidRPr="00FA3384">
        <w:rPr>
          <w:rFonts w:asciiTheme="minorHAnsi" w:hAnsiTheme="minorHAnsi"/>
        </w:rPr>
        <w:t xml:space="preserve"> (e.g., the 5th instar larva).</w:t>
      </w:r>
    </w:p>
    <w:p w14:paraId="1B78CFD3" w14:textId="77777777" w:rsidR="00FA3384" w:rsidRPr="00FA3384" w:rsidRDefault="00FA3384" w:rsidP="00FA3384">
      <w:pPr>
        <w:pStyle w:val="NormalWeb"/>
        <w:numPr>
          <w:ilvl w:val="0"/>
          <w:numId w:val="2"/>
        </w:numPr>
        <w:rPr>
          <w:rFonts w:asciiTheme="minorHAnsi" w:hAnsiTheme="minorHAnsi"/>
        </w:rPr>
      </w:pPr>
      <w:r w:rsidRPr="00FA3384">
        <w:rPr>
          <w:rStyle w:val="Strong"/>
          <w:rFonts w:asciiTheme="minorHAnsi" w:eastAsiaTheme="majorEastAsia" w:hAnsiTheme="minorHAnsi"/>
        </w:rPr>
        <w:t>Entire life stages</w:t>
      </w:r>
      <w:r w:rsidRPr="00FA3384">
        <w:rPr>
          <w:rFonts w:asciiTheme="minorHAnsi" w:hAnsiTheme="minorHAnsi"/>
        </w:rPr>
        <w:t xml:space="preserve"> (e.g., the larval or pupal stage).</w:t>
      </w:r>
    </w:p>
    <w:p w14:paraId="04C98881" w14:textId="77777777" w:rsidR="00FA3384" w:rsidRPr="00FA3384" w:rsidRDefault="00FA3384" w:rsidP="00FA3384">
      <w:pPr>
        <w:pStyle w:val="NormalWeb"/>
        <w:numPr>
          <w:ilvl w:val="0"/>
          <w:numId w:val="2"/>
        </w:numPr>
        <w:rPr>
          <w:rFonts w:asciiTheme="minorHAnsi" w:hAnsiTheme="minorHAnsi"/>
        </w:rPr>
      </w:pPr>
      <w:r w:rsidRPr="00FA3384">
        <w:rPr>
          <w:rStyle w:val="Strong"/>
          <w:rFonts w:asciiTheme="minorHAnsi" w:eastAsiaTheme="majorEastAsia" w:hAnsiTheme="minorHAnsi"/>
        </w:rPr>
        <w:t>Across the full arc of development</w:t>
      </w:r>
      <w:r w:rsidRPr="00FA3384">
        <w:rPr>
          <w:rFonts w:asciiTheme="minorHAnsi" w:hAnsiTheme="minorHAnsi"/>
        </w:rPr>
        <w:t xml:space="preserve"> (from embryo through metamorphosis to adult).</w:t>
      </w:r>
    </w:p>
    <w:p w14:paraId="42866ED7" w14:textId="77777777" w:rsidR="00FA3384" w:rsidRPr="00FA3384" w:rsidRDefault="00FA3384" w:rsidP="00FA3384">
      <w:pPr>
        <w:pStyle w:val="NormalWeb"/>
        <w:rPr>
          <w:rFonts w:asciiTheme="minorHAnsi" w:hAnsiTheme="minorHAnsi"/>
        </w:rPr>
      </w:pPr>
      <w:r w:rsidRPr="00FA3384">
        <w:rPr>
          <w:rFonts w:asciiTheme="minorHAnsi" w:hAnsiTheme="minorHAnsi"/>
        </w:rPr>
        <w:t>By layering these perspectives, our map begins to reveal itself. Our central hypothesis is that a butterfly’s body plan emerges from a relatively small set of conserved genes, fine-tuned by a divergent regulatory landscape and modular interactions between genes, proteins, and metabolites. These “molecular modules” ultimately define the identity and function of organs, appendages, and tissues.</w:t>
      </w:r>
    </w:p>
    <w:p w14:paraId="3A570DDD" w14:textId="4BB0C851" w:rsidR="00FA3384" w:rsidRPr="00FA3384" w:rsidRDefault="00FA3384" w:rsidP="00FA3384">
      <w:pPr>
        <w:pStyle w:val="NormalWeb"/>
        <w:rPr>
          <w:rFonts w:asciiTheme="minorHAnsi" w:hAnsiTheme="minorHAnsi"/>
        </w:rPr>
      </w:pPr>
      <w:r w:rsidRPr="00FA3384">
        <w:rPr>
          <w:rFonts w:asciiTheme="minorHAnsi" w:hAnsiTheme="minorHAnsi"/>
        </w:rPr>
        <w:lastRenderedPageBreak/>
        <w:t xml:space="preserve">Unlike </w:t>
      </w:r>
      <w:r w:rsidRPr="00FA3384">
        <w:rPr>
          <w:rStyle w:val="Emphasis"/>
          <w:rFonts w:asciiTheme="minorHAnsi" w:eastAsiaTheme="majorEastAsia" w:hAnsiTheme="minorHAnsi"/>
        </w:rPr>
        <w:t>Drosophila melanogaster</w:t>
      </w:r>
      <w:r>
        <w:rPr>
          <w:rFonts w:asciiTheme="minorHAnsi" w:hAnsiTheme="minorHAnsi"/>
        </w:rPr>
        <w:t xml:space="preserve">, </w:t>
      </w:r>
      <w:r w:rsidRPr="00FA3384">
        <w:rPr>
          <w:rFonts w:asciiTheme="minorHAnsi" w:hAnsiTheme="minorHAnsi"/>
        </w:rPr>
        <w:t>the fruit fly</w:t>
      </w:r>
      <w:r>
        <w:rPr>
          <w:rFonts w:asciiTheme="minorHAnsi" w:hAnsiTheme="minorHAnsi"/>
        </w:rPr>
        <w:t xml:space="preserve"> (</w:t>
      </w:r>
      <w:r w:rsidRPr="00FA3384">
        <w:rPr>
          <w:rFonts w:asciiTheme="minorHAnsi" w:hAnsiTheme="minorHAnsi"/>
        </w:rPr>
        <w:t>long regarded as the classic model for developmental biolog</w:t>
      </w:r>
      <w:r>
        <w:rPr>
          <w:rFonts w:asciiTheme="minorHAnsi" w:hAnsiTheme="minorHAnsi"/>
        </w:rPr>
        <w:t xml:space="preserve">y) </w:t>
      </w:r>
      <w:r w:rsidRPr="00FA3384">
        <w:rPr>
          <w:rFonts w:asciiTheme="minorHAnsi" w:hAnsiTheme="minorHAnsi"/>
        </w:rPr>
        <w:t xml:space="preserve">there is still relatively little work on building such a comprehensive developmental framework for butterflies. By placing </w:t>
      </w:r>
      <w:proofErr w:type="spellStart"/>
      <w:r w:rsidRPr="00FA3384">
        <w:rPr>
          <w:rStyle w:val="Emphasis"/>
          <w:rFonts w:asciiTheme="minorHAnsi" w:eastAsiaTheme="majorEastAsia" w:hAnsiTheme="minorHAnsi"/>
        </w:rPr>
        <w:t>Heliconius</w:t>
      </w:r>
      <w:proofErr w:type="spellEnd"/>
      <w:r w:rsidRPr="00FA3384">
        <w:rPr>
          <w:rFonts w:asciiTheme="minorHAnsi" w:hAnsiTheme="minorHAnsi"/>
        </w:rPr>
        <w:t xml:space="preserve"> and </w:t>
      </w:r>
      <w:r w:rsidRPr="00FA3384">
        <w:rPr>
          <w:rStyle w:val="Emphasis"/>
          <w:rFonts w:asciiTheme="minorHAnsi" w:eastAsiaTheme="majorEastAsia" w:hAnsiTheme="minorHAnsi"/>
        </w:rPr>
        <w:t>Danaus</w:t>
      </w:r>
      <w:r w:rsidRPr="00FA3384">
        <w:rPr>
          <w:rFonts w:asciiTheme="minorHAnsi" w:hAnsiTheme="minorHAnsi"/>
        </w:rPr>
        <w:t xml:space="preserve"> into this context, we can search for deep developmental homologies across insects, connecting the rules that govern fly embryos with the processes that pattern butterfly wings.</w:t>
      </w:r>
    </w:p>
    <w:p w14:paraId="38BBB65F" w14:textId="77777777" w:rsidR="00FA3384" w:rsidRDefault="00FA3384" w:rsidP="00FA3384">
      <w:pPr>
        <w:pStyle w:val="NormalWeb"/>
        <w:rPr>
          <w:rFonts w:asciiTheme="minorHAnsi" w:hAnsiTheme="minorHAnsi"/>
        </w:rPr>
      </w:pPr>
      <w:r w:rsidRPr="00FA3384">
        <w:rPr>
          <w:rFonts w:asciiTheme="minorHAnsi" w:hAnsiTheme="minorHAnsi"/>
        </w:rPr>
        <w:t xml:space="preserve">In simple terms, the Blueprint of Life allows us to turn </w:t>
      </w:r>
      <w:r w:rsidRPr="00FA3384">
        <w:rPr>
          <w:rStyle w:val="Emphasis"/>
          <w:rFonts w:asciiTheme="minorHAnsi" w:eastAsiaTheme="majorEastAsia" w:hAnsiTheme="minorHAnsi"/>
        </w:rPr>
        <w:t>“butterfly soup”</w:t>
      </w:r>
      <w:r w:rsidRPr="00FA3384">
        <w:rPr>
          <w:rFonts w:asciiTheme="minorHAnsi" w:hAnsiTheme="minorHAnsi"/>
        </w:rPr>
        <w:t xml:space="preserve"> from metaphor into mechanism. By tracing how molecules shift and interact during metamorphosis, we begin to explain how a set of genetic instructions transforms into the vibrant diversity of shapes and colors we see in butterflies.</w:t>
      </w:r>
    </w:p>
    <w:p w14:paraId="5E719C5F" w14:textId="4FC9E0CD" w:rsidR="009C7089" w:rsidRPr="009927C7" w:rsidRDefault="009C7089" w:rsidP="00511B2D">
      <w:pPr>
        <w:spacing w:before="240" w:after="40" w:line="240" w:lineRule="auto"/>
        <w:outlineLvl w:val="3"/>
        <w:rPr>
          <w:rFonts w:eastAsia="Times New Roman" w:cs="Times New Roman"/>
          <w:b/>
          <w:bCs/>
          <w:color w:val="215E99" w:themeColor="text2" w:themeTint="BF"/>
          <w:kern w:val="0"/>
          <w:sz w:val="28"/>
          <w:szCs w:val="28"/>
          <w14:ligatures w14:val="none"/>
        </w:rPr>
      </w:pPr>
      <w:r w:rsidRPr="009927C7">
        <w:rPr>
          <w:rFonts w:eastAsia="Times New Roman" w:cs="Times New Roman"/>
          <w:b/>
          <w:bCs/>
          <w:color w:val="215E99" w:themeColor="text2" w:themeTint="BF"/>
          <w:kern w:val="0"/>
          <w:sz w:val="28"/>
          <w:szCs w:val="28"/>
          <w14:ligatures w14:val="none"/>
        </w:rPr>
        <w:t xml:space="preserve">How can </w:t>
      </w:r>
      <w:proofErr w:type="gramStart"/>
      <w:r w:rsidRPr="009927C7">
        <w:rPr>
          <w:rFonts w:eastAsia="Times New Roman" w:cs="Times New Roman"/>
          <w:b/>
          <w:bCs/>
          <w:color w:val="215E99" w:themeColor="text2" w:themeTint="BF"/>
          <w:kern w:val="0"/>
          <w:sz w:val="28"/>
          <w:szCs w:val="28"/>
          <w14:ligatures w14:val="none"/>
        </w:rPr>
        <w:t xml:space="preserve">the </w:t>
      </w:r>
      <w:r w:rsidR="00511B2D" w:rsidRPr="007E7067">
        <w:rPr>
          <w:rFonts w:eastAsia="Times New Roman" w:cs="Times New Roman"/>
          <w:b/>
          <w:bCs/>
          <w:color w:val="215E99" w:themeColor="text2" w:themeTint="BF"/>
          <w:kern w:val="0"/>
          <w:sz w:val="28"/>
          <w:szCs w:val="28"/>
          <w14:ligatures w14:val="none"/>
        </w:rPr>
        <w:t xml:space="preserve"> Blueprint</w:t>
      </w:r>
      <w:proofErr w:type="gramEnd"/>
      <w:r w:rsidR="00511B2D" w:rsidRPr="007E7067">
        <w:rPr>
          <w:rFonts w:eastAsia="Times New Roman" w:cs="Times New Roman"/>
          <w:b/>
          <w:bCs/>
          <w:color w:val="215E99" w:themeColor="text2" w:themeTint="BF"/>
          <w:kern w:val="0"/>
          <w:sz w:val="28"/>
          <w:szCs w:val="28"/>
          <w14:ligatures w14:val="none"/>
        </w:rPr>
        <w:t xml:space="preserve"> of life </w:t>
      </w:r>
      <w:r w:rsidRPr="009927C7">
        <w:rPr>
          <w:rFonts w:eastAsia="Times New Roman" w:cs="Times New Roman"/>
          <w:b/>
          <w:bCs/>
          <w:color w:val="215E99" w:themeColor="text2" w:themeTint="BF"/>
          <w:kern w:val="0"/>
          <w:sz w:val="28"/>
          <w:szCs w:val="28"/>
          <w14:ligatures w14:val="none"/>
        </w:rPr>
        <w:t xml:space="preserve">give us a Wing Cell Atlas? </w:t>
      </w:r>
    </w:p>
    <w:p w14:paraId="16EBB6BA" w14:textId="34D07EBF" w:rsidR="009C7089" w:rsidRDefault="009C7089" w:rsidP="009C7089">
      <w:pPr>
        <w:pStyle w:val="NormalWeb"/>
        <w:rPr>
          <w:rFonts w:asciiTheme="minorHAnsi" w:hAnsiTheme="minorHAnsi"/>
        </w:rPr>
      </w:pPr>
      <w:r w:rsidRPr="009C7089">
        <w:rPr>
          <w:rFonts w:asciiTheme="minorHAnsi" w:hAnsiTheme="minorHAnsi"/>
        </w:rPr>
        <w:t xml:space="preserve">Butterfly wings are mosaics of scale cells, each producing its own pigments and nanostructures. These cells arise from progenitors that follow spatially organized developmental pathways, guided by gene regulatory networks (GRNs) that switch genes on and off at precise times and places. </w:t>
      </w:r>
      <w:r w:rsidR="009371D2">
        <w:rPr>
          <w:rFonts w:asciiTheme="minorHAnsi" w:hAnsiTheme="minorHAnsi"/>
        </w:rPr>
        <w:t xml:space="preserve">It is one of the best ways to visually map the effects specific genes can have on phenotypic expression. </w:t>
      </w:r>
      <w:r w:rsidRPr="009C7089">
        <w:rPr>
          <w:rFonts w:asciiTheme="minorHAnsi" w:hAnsiTheme="minorHAnsi"/>
        </w:rPr>
        <w:t>Through the Blueprint of Life</w:t>
      </w:r>
      <w:r w:rsidR="009371D2">
        <w:rPr>
          <w:rFonts w:asciiTheme="minorHAnsi" w:hAnsiTheme="minorHAnsi"/>
        </w:rPr>
        <w:t xml:space="preserve"> project</w:t>
      </w:r>
      <w:r w:rsidRPr="009C7089">
        <w:rPr>
          <w:rFonts w:asciiTheme="minorHAnsi" w:hAnsiTheme="minorHAnsi"/>
        </w:rPr>
        <w:t xml:space="preserve">, we are mapping these molecular decisions to build a </w:t>
      </w:r>
      <w:r w:rsidRPr="009371D2">
        <w:rPr>
          <w:rStyle w:val="Strong"/>
          <w:rFonts w:asciiTheme="minorHAnsi" w:eastAsiaTheme="majorEastAsia" w:hAnsiTheme="minorHAnsi"/>
          <w:b w:val="0"/>
          <w:bCs w:val="0"/>
        </w:rPr>
        <w:t>Wing Cell Atlas</w:t>
      </w:r>
      <w:r w:rsidRPr="009C7089">
        <w:rPr>
          <w:rFonts w:asciiTheme="minorHAnsi" w:hAnsiTheme="minorHAnsi"/>
        </w:rPr>
        <w:t xml:space="preserve"> for each species, focusing on the critical 4th instar when color patterning begins.</w:t>
      </w:r>
    </w:p>
    <w:p w14:paraId="087C1E3F" w14:textId="38BC70B5" w:rsidR="009371D2" w:rsidRPr="009927C7" w:rsidRDefault="009371D2" w:rsidP="009C7089">
      <w:pPr>
        <w:pStyle w:val="NormalWeb"/>
        <w:rPr>
          <w:rFonts w:asciiTheme="minorHAnsi" w:hAnsiTheme="minorHAnsi"/>
          <w:i/>
          <w:iCs/>
          <w:color w:val="215E99" w:themeColor="text2" w:themeTint="BF"/>
        </w:rPr>
      </w:pPr>
      <w:r w:rsidRPr="009927C7">
        <w:rPr>
          <w:rFonts w:asciiTheme="minorHAnsi" w:hAnsiTheme="minorHAnsi"/>
          <w:i/>
          <w:iCs/>
          <w:color w:val="215E99" w:themeColor="text2" w:themeTint="BF"/>
        </w:rPr>
        <w:t>Method</w:t>
      </w:r>
    </w:p>
    <w:p w14:paraId="6BCDB730" w14:textId="0EE9F8D9" w:rsidR="009C7089" w:rsidRPr="009C7089" w:rsidRDefault="009C7089" w:rsidP="009C7089">
      <w:pPr>
        <w:pStyle w:val="NormalWeb"/>
        <w:rPr>
          <w:rFonts w:asciiTheme="minorHAnsi" w:hAnsiTheme="minorHAnsi"/>
        </w:rPr>
      </w:pPr>
      <w:r w:rsidRPr="009C7089">
        <w:rPr>
          <w:rFonts w:asciiTheme="minorHAnsi" w:hAnsiTheme="minorHAnsi"/>
        </w:rPr>
        <w:t xml:space="preserve">To uncover the genetic basis of these processes, we are generating </w:t>
      </w:r>
      <w:r w:rsidRPr="009371D2">
        <w:rPr>
          <w:rStyle w:val="Strong"/>
          <w:rFonts w:asciiTheme="minorHAnsi" w:eastAsiaTheme="majorEastAsia" w:hAnsiTheme="minorHAnsi"/>
          <w:b w:val="0"/>
          <w:bCs w:val="0"/>
        </w:rPr>
        <w:t>10 high-quality reference genomes per species</w:t>
      </w:r>
      <w:r w:rsidRPr="009C7089">
        <w:rPr>
          <w:rFonts w:asciiTheme="minorHAnsi" w:hAnsiTheme="minorHAnsi"/>
        </w:rPr>
        <w:t xml:space="preserve"> (5 male, 5 female) using long-read PacBio sequencing, spanning </w:t>
      </w:r>
      <w:r w:rsidRPr="009371D2">
        <w:rPr>
          <w:rStyle w:val="Strong"/>
          <w:rFonts w:asciiTheme="minorHAnsi" w:eastAsiaTheme="majorEastAsia" w:hAnsiTheme="minorHAnsi"/>
          <w:b w:val="0"/>
          <w:bCs w:val="0"/>
        </w:rPr>
        <w:t>5 populations per species</w:t>
      </w:r>
      <w:r w:rsidRPr="009C7089">
        <w:rPr>
          <w:rFonts w:asciiTheme="minorHAnsi" w:hAnsiTheme="minorHAnsi"/>
        </w:rPr>
        <w:t xml:space="preserve"> across key geographic regions. In addition, we </w:t>
      </w:r>
      <w:r w:rsidRPr="009371D2">
        <w:rPr>
          <w:rFonts w:asciiTheme="minorHAnsi" w:hAnsiTheme="minorHAnsi"/>
        </w:rPr>
        <w:t xml:space="preserve">will </w:t>
      </w:r>
      <w:r w:rsidRPr="009371D2">
        <w:rPr>
          <w:rStyle w:val="Strong"/>
          <w:rFonts w:asciiTheme="minorHAnsi" w:eastAsiaTheme="majorEastAsia" w:hAnsiTheme="minorHAnsi"/>
          <w:b w:val="0"/>
          <w:bCs w:val="0"/>
        </w:rPr>
        <w:t>re-sequence 10 individuals per population with Illumina</w:t>
      </w:r>
      <w:r w:rsidRPr="009371D2">
        <w:rPr>
          <w:rFonts w:asciiTheme="minorHAnsi" w:hAnsiTheme="minorHAnsi"/>
          <w:b/>
          <w:bCs/>
        </w:rPr>
        <w:t xml:space="preserve">, </w:t>
      </w:r>
      <w:r w:rsidRPr="009371D2">
        <w:rPr>
          <w:rFonts w:asciiTheme="minorHAnsi" w:hAnsiTheme="minorHAnsi"/>
        </w:rPr>
        <w:t>creating a dataset of</w:t>
      </w:r>
      <w:r w:rsidRPr="009371D2">
        <w:rPr>
          <w:rFonts w:asciiTheme="minorHAnsi" w:hAnsiTheme="minorHAnsi"/>
          <w:b/>
          <w:bCs/>
        </w:rPr>
        <w:t xml:space="preserve"> </w:t>
      </w:r>
      <w:r w:rsidRPr="009371D2">
        <w:rPr>
          <w:rStyle w:val="Strong"/>
          <w:rFonts w:asciiTheme="minorHAnsi" w:eastAsiaTheme="majorEastAsia" w:hAnsiTheme="minorHAnsi"/>
          <w:b w:val="0"/>
          <w:bCs w:val="0"/>
        </w:rPr>
        <w:t>50 genomes per species</w:t>
      </w:r>
      <w:r w:rsidRPr="009C7089">
        <w:rPr>
          <w:rFonts w:asciiTheme="minorHAnsi" w:hAnsiTheme="minorHAnsi"/>
        </w:rPr>
        <w:t xml:space="preserve">. These resources will allow us to track how molecular </w:t>
      </w:r>
      <w:r w:rsidR="009371D2">
        <w:rPr>
          <w:rFonts w:asciiTheme="minorHAnsi" w:hAnsiTheme="minorHAnsi"/>
        </w:rPr>
        <w:t>patterns</w:t>
      </w:r>
      <w:r w:rsidRPr="009C7089">
        <w:rPr>
          <w:rFonts w:asciiTheme="minorHAnsi" w:hAnsiTheme="minorHAnsi"/>
        </w:rPr>
        <w:t xml:space="preserve"> varies both within and across species.</w:t>
      </w:r>
    </w:p>
    <w:p w14:paraId="4DF9A06D" w14:textId="43FCD0DB" w:rsidR="009C7089" w:rsidRPr="009C7089" w:rsidRDefault="009C7089" w:rsidP="009C7089">
      <w:pPr>
        <w:pStyle w:val="NormalWeb"/>
        <w:rPr>
          <w:rFonts w:asciiTheme="minorHAnsi" w:hAnsiTheme="minorHAnsi"/>
        </w:rPr>
      </w:pPr>
      <w:r w:rsidRPr="009C7089">
        <w:rPr>
          <w:rFonts w:asciiTheme="minorHAnsi" w:hAnsiTheme="minorHAnsi"/>
        </w:rPr>
        <w:t xml:space="preserve">On the functional side, we will visualize the expression patterns </w:t>
      </w:r>
      <w:r w:rsidRPr="009371D2">
        <w:rPr>
          <w:rFonts w:asciiTheme="minorHAnsi" w:hAnsiTheme="minorHAnsi"/>
        </w:rPr>
        <w:t xml:space="preserve">of </w:t>
      </w:r>
      <w:r w:rsidRPr="009371D2">
        <w:rPr>
          <w:rStyle w:val="Strong"/>
          <w:rFonts w:asciiTheme="minorHAnsi" w:eastAsiaTheme="majorEastAsia" w:hAnsiTheme="minorHAnsi"/>
          <w:b w:val="0"/>
          <w:bCs w:val="0"/>
        </w:rPr>
        <w:t>60 candidate genes</w:t>
      </w:r>
      <w:r w:rsidRPr="009371D2">
        <w:rPr>
          <w:rFonts w:asciiTheme="minorHAnsi" w:hAnsiTheme="minorHAnsi"/>
        </w:rPr>
        <w:t xml:space="preserve"> in butterfly tissues and directly test the role of </w:t>
      </w:r>
      <w:r w:rsidRPr="009371D2">
        <w:rPr>
          <w:rStyle w:val="Strong"/>
          <w:rFonts w:asciiTheme="minorHAnsi" w:eastAsiaTheme="majorEastAsia" w:hAnsiTheme="minorHAnsi"/>
          <w:b w:val="0"/>
          <w:bCs w:val="0"/>
        </w:rPr>
        <w:t>40 genes with CRISPR</w:t>
      </w:r>
      <w:r w:rsidRPr="009371D2">
        <w:rPr>
          <w:rFonts w:asciiTheme="minorHAnsi" w:hAnsiTheme="minorHAnsi"/>
        </w:rPr>
        <w:t>.</w:t>
      </w:r>
      <w:r w:rsidRPr="009C7089">
        <w:rPr>
          <w:rFonts w:asciiTheme="minorHAnsi" w:hAnsiTheme="minorHAnsi"/>
        </w:rPr>
        <w:t xml:space="preserve"> Together, these </w:t>
      </w:r>
      <w:r w:rsidRPr="009C7089">
        <w:rPr>
          <w:rFonts w:asciiTheme="minorHAnsi" w:hAnsiTheme="minorHAnsi"/>
        </w:rPr>
        <w:lastRenderedPageBreak/>
        <w:t>approaches will reveal not only which genes drive wing color and pattern, but also how conserved molecular components are fine-tuned by divergent regulatory mechanisms. Even scales of the same color</w:t>
      </w:r>
      <w:r w:rsidR="009371D2">
        <w:rPr>
          <w:rFonts w:asciiTheme="minorHAnsi" w:hAnsiTheme="minorHAnsi"/>
        </w:rPr>
        <w:t xml:space="preserve">, </w:t>
      </w:r>
      <w:r w:rsidRPr="009C7089">
        <w:rPr>
          <w:rFonts w:asciiTheme="minorHAnsi" w:hAnsiTheme="minorHAnsi"/>
        </w:rPr>
        <w:t xml:space="preserve">may emerge through entirely different pathways in different butterflies. With their flat 2D structure, wings offer a unique model system to trace cell fates from development to final pattern, giving us unprecedented insight into how color </w:t>
      </w:r>
      <w:r w:rsidR="009371D2">
        <w:rPr>
          <w:rFonts w:asciiTheme="minorHAnsi" w:hAnsiTheme="minorHAnsi"/>
        </w:rPr>
        <w:t xml:space="preserve">expression </w:t>
      </w:r>
      <w:r w:rsidRPr="009C7089">
        <w:rPr>
          <w:rFonts w:asciiTheme="minorHAnsi" w:hAnsiTheme="minorHAnsi"/>
        </w:rPr>
        <w:t>evolves across species.</w:t>
      </w:r>
    </w:p>
    <w:p w14:paraId="153CE96D" w14:textId="77777777" w:rsidR="00511B2D" w:rsidRDefault="00511B2D" w:rsidP="00511B2D">
      <w:pPr>
        <w:spacing w:before="240" w:after="40" w:line="240" w:lineRule="auto"/>
        <w:outlineLvl w:val="3"/>
        <w:rPr>
          <w:rFonts w:eastAsia="Times New Roman" w:cs="Times New Roman"/>
          <w:b/>
          <w:bCs/>
          <w:color w:val="000000"/>
          <w:kern w:val="0"/>
          <w:sz w:val="22"/>
          <w:szCs w:val="22"/>
          <w14:ligatures w14:val="none"/>
        </w:rPr>
      </w:pPr>
    </w:p>
    <w:p w14:paraId="2B84572C" w14:textId="303C9F2E" w:rsidR="00511B2D" w:rsidRPr="009927C7" w:rsidRDefault="00FA3384" w:rsidP="00511B2D">
      <w:pPr>
        <w:spacing w:before="240" w:after="40" w:line="240" w:lineRule="auto"/>
        <w:outlineLvl w:val="3"/>
        <w:rPr>
          <w:rFonts w:eastAsia="Times New Roman" w:cs="Times New Roman"/>
          <w:b/>
          <w:bCs/>
          <w:color w:val="215E99" w:themeColor="text2" w:themeTint="BF"/>
          <w:kern w:val="0"/>
          <w:sz w:val="28"/>
          <w:szCs w:val="28"/>
          <w14:ligatures w14:val="none"/>
        </w:rPr>
      </w:pPr>
      <w:r w:rsidRPr="00FA3384">
        <w:rPr>
          <w:rFonts w:eastAsia="Times New Roman" w:cs="Times New Roman"/>
          <w:b/>
          <w:bCs/>
          <w:color w:val="215E99" w:themeColor="text2" w:themeTint="BF"/>
          <w:kern w:val="0"/>
          <w:sz w:val="28"/>
          <w:szCs w:val="28"/>
          <w14:ligatures w14:val="none"/>
        </w:rPr>
        <w:t>What Makes Our Tools Different</w:t>
      </w:r>
    </w:p>
    <w:p w14:paraId="2F621D49" w14:textId="72C0FDA5" w:rsidR="00511B2D" w:rsidRPr="00511B2D" w:rsidRDefault="00511B2D" w:rsidP="00511B2D">
      <w:pPr>
        <w:pStyle w:val="NormalWeb"/>
        <w:rPr>
          <w:rFonts w:asciiTheme="minorHAnsi" w:hAnsiTheme="minorHAnsi"/>
        </w:rPr>
      </w:pPr>
      <w:r w:rsidRPr="00511B2D">
        <w:rPr>
          <w:rFonts w:asciiTheme="minorHAnsi" w:hAnsiTheme="minorHAnsi"/>
        </w:rPr>
        <w:t xml:space="preserve">As you may have noticed in our </w:t>
      </w:r>
      <w:r w:rsidRPr="00511B2D">
        <w:rPr>
          <w:rFonts w:asciiTheme="minorHAnsi" w:hAnsiTheme="minorHAnsi"/>
          <w:b/>
          <w:bCs/>
        </w:rPr>
        <w:t>“</w:t>
      </w:r>
      <w:r w:rsidRPr="00511B2D">
        <w:rPr>
          <w:rStyle w:val="Strong"/>
          <w:rFonts w:asciiTheme="minorHAnsi" w:eastAsiaTheme="majorEastAsia" w:hAnsiTheme="minorHAnsi"/>
          <w:b w:val="0"/>
          <w:bCs w:val="0"/>
        </w:rPr>
        <w:t>Team</w:t>
      </w:r>
      <w:r w:rsidRPr="00511B2D">
        <w:rPr>
          <w:rStyle w:val="Strong"/>
          <w:rFonts w:asciiTheme="minorHAnsi" w:eastAsiaTheme="majorEastAsia" w:hAnsiTheme="minorHAnsi"/>
          <w:b w:val="0"/>
          <w:bCs w:val="0"/>
        </w:rPr>
        <w:t>s”</w:t>
      </w:r>
      <w:r w:rsidRPr="00511B2D">
        <w:rPr>
          <w:rFonts w:asciiTheme="minorHAnsi" w:hAnsiTheme="minorHAnsi"/>
          <w:b/>
          <w:bCs/>
        </w:rPr>
        <w:t xml:space="preserve"> </w:t>
      </w:r>
      <w:r w:rsidRPr="00511B2D">
        <w:rPr>
          <w:rFonts w:asciiTheme="minorHAnsi" w:hAnsiTheme="minorHAnsi"/>
        </w:rPr>
        <w:t xml:space="preserve">section, many of our researchers are not exclusively biologists. </w:t>
      </w:r>
      <w:r>
        <w:rPr>
          <w:rFonts w:asciiTheme="minorHAnsi" w:hAnsiTheme="minorHAnsi"/>
        </w:rPr>
        <w:t xml:space="preserve">Indeed, we have a wide range of multidisciplinary researchers from </w:t>
      </w:r>
      <w:r w:rsidRPr="00511B2D">
        <w:rPr>
          <w:rFonts w:asciiTheme="minorHAnsi" w:hAnsiTheme="minorHAnsi"/>
        </w:rPr>
        <w:t>mathematicians, chemists, computer scientists, and artificial intelligence experts, creating a uniquely diverse environment to tackle biological questions in new ways.</w:t>
      </w:r>
      <w:r>
        <w:rPr>
          <w:rFonts w:asciiTheme="minorHAnsi" w:hAnsiTheme="minorHAnsi"/>
        </w:rPr>
        <w:t xml:space="preserve"> </w:t>
      </w:r>
    </w:p>
    <w:p w14:paraId="2337567C" w14:textId="77777777" w:rsidR="00511B2D" w:rsidRDefault="00511B2D" w:rsidP="00511B2D">
      <w:pPr>
        <w:pStyle w:val="NormalWeb"/>
        <w:rPr>
          <w:rFonts w:asciiTheme="minorHAnsi" w:hAnsiTheme="minorHAnsi"/>
        </w:rPr>
      </w:pPr>
      <w:r w:rsidRPr="00511B2D">
        <w:rPr>
          <w:rFonts w:asciiTheme="minorHAnsi" w:hAnsiTheme="minorHAnsi"/>
        </w:rPr>
        <w:t xml:space="preserve">What sets the Blueprint of Life apart is its </w:t>
      </w:r>
      <w:r w:rsidRPr="00511B2D">
        <w:rPr>
          <w:rStyle w:val="Strong"/>
          <w:rFonts w:asciiTheme="minorHAnsi" w:eastAsiaTheme="majorEastAsia" w:hAnsiTheme="minorHAnsi"/>
          <w:b w:val="0"/>
          <w:bCs w:val="0"/>
        </w:rPr>
        <w:t>computational and AI innovations</w:t>
      </w:r>
      <w:r w:rsidRPr="00511B2D">
        <w:rPr>
          <w:rFonts w:asciiTheme="minorHAnsi" w:hAnsiTheme="minorHAnsi"/>
          <w:b/>
          <w:bCs/>
        </w:rPr>
        <w:t xml:space="preserve">. </w:t>
      </w:r>
      <w:r w:rsidRPr="00511B2D">
        <w:rPr>
          <w:rFonts w:asciiTheme="minorHAnsi" w:hAnsiTheme="minorHAnsi"/>
        </w:rPr>
        <w:t>Over the next few years, we aim to rewrite the script for biological data analysis</w:t>
      </w:r>
      <w:r>
        <w:rPr>
          <w:rFonts w:asciiTheme="minorHAnsi" w:hAnsiTheme="minorHAnsi"/>
        </w:rPr>
        <w:t xml:space="preserve"> and processing</w:t>
      </w:r>
      <w:r w:rsidRPr="00511B2D">
        <w:rPr>
          <w:rFonts w:asciiTheme="minorHAnsi" w:hAnsiTheme="minorHAnsi"/>
        </w:rPr>
        <w:t xml:space="preserve"> by creating standardized computational pipelines built on mathematical principles and automated processes. </w:t>
      </w:r>
    </w:p>
    <w:p w14:paraId="76E87B85" w14:textId="6AE7629A" w:rsidR="00511B2D" w:rsidRPr="00511B2D" w:rsidRDefault="00511B2D" w:rsidP="00511B2D">
      <w:pPr>
        <w:pStyle w:val="NormalWeb"/>
        <w:rPr>
          <w:rFonts w:asciiTheme="minorHAnsi" w:hAnsiTheme="minorHAnsi"/>
        </w:rPr>
      </w:pPr>
      <w:r w:rsidRPr="00511B2D">
        <w:rPr>
          <w:rFonts w:asciiTheme="minorHAnsi" w:hAnsiTheme="minorHAnsi"/>
        </w:rPr>
        <w:t xml:space="preserve">Instead of relying solely on traditional computational pipelines, our approach will move toward </w:t>
      </w:r>
      <w:r w:rsidRPr="00511B2D">
        <w:rPr>
          <w:rStyle w:val="Strong"/>
          <w:rFonts w:asciiTheme="minorHAnsi" w:eastAsiaTheme="majorEastAsia" w:hAnsiTheme="minorHAnsi"/>
          <w:b w:val="0"/>
          <w:bCs w:val="0"/>
        </w:rPr>
        <w:t>automated pattern recognition</w:t>
      </w:r>
      <w:r>
        <w:rPr>
          <w:rFonts w:asciiTheme="minorHAnsi" w:hAnsiTheme="minorHAnsi"/>
        </w:rPr>
        <w:t xml:space="preserve">. These are </w:t>
      </w:r>
      <w:r w:rsidRPr="00511B2D">
        <w:rPr>
          <w:rFonts w:asciiTheme="minorHAnsi" w:hAnsiTheme="minorHAnsi"/>
        </w:rPr>
        <w:t>systems that can detect, learn, and refine patterns far beyond what human researchers could design manually.</w:t>
      </w:r>
    </w:p>
    <w:p w14:paraId="4FD79E1E" w14:textId="46E389CE" w:rsidR="00511B2D" w:rsidRPr="00511B2D" w:rsidRDefault="00511B2D" w:rsidP="00511B2D">
      <w:pPr>
        <w:pStyle w:val="NormalWeb"/>
        <w:rPr>
          <w:rFonts w:asciiTheme="minorHAnsi" w:hAnsiTheme="minorHAnsi"/>
        </w:rPr>
      </w:pPr>
      <w:r w:rsidRPr="00511B2D">
        <w:rPr>
          <w:rFonts w:asciiTheme="minorHAnsi" w:hAnsiTheme="minorHAnsi"/>
        </w:rPr>
        <w:t>Artificial intelligence will play a central role. Rather than starting with a fully trained system, our AI will learn directly from biological data, teaching itself to identify hidden patterns in gene activity, molecular interactions, and developmental processes. This will allow us to move from static analyses to</w:t>
      </w:r>
      <w:r w:rsidRPr="00511B2D">
        <w:rPr>
          <w:rFonts w:asciiTheme="minorHAnsi" w:hAnsiTheme="minorHAnsi"/>
          <w:b/>
          <w:bCs/>
        </w:rPr>
        <w:t xml:space="preserve"> </w:t>
      </w:r>
      <w:r w:rsidRPr="00511B2D">
        <w:rPr>
          <w:rStyle w:val="Strong"/>
          <w:rFonts w:asciiTheme="minorHAnsi" w:eastAsiaTheme="majorEastAsia" w:hAnsiTheme="minorHAnsi"/>
          <w:b w:val="0"/>
          <w:bCs w:val="0"/>
        </w:rPr>
        <w:t>dynamic prediction tools</w:t>
      </w:r>
      <w:r>
        <w:rPr>
          <w:rFonts w:asciiTheme="minorHAnsi" w:hAnsiTheme="minorHAnsi"/>
        </w:rPr>
        <w:t xml:space="preserve">. In a perfect world, it means our </w:t>
      </w:r>
      <w:r w:rsidRPr="00511B2D">
        <w:rPr>
          <w:rFonts w:asciiTheme="minorHAnsi" w:hAnsiTheme="minorHAnsi"/>
        </w:rPr>
        <w:t xml:space="preserve">AI models </w:t>
      </w:r>
      <w:r>
        <w:rPr>
          <w:rFonts w:asciiTheme="minorHAnsi" w:hAnsiTheme="minorHAnsi"/>
        </w:rPr>
        <w:t>will</w:t>
      </w:r>
      <w:r w:rsidRPr="00511B2D">
        <w:rPr>
          <w:rFonts w:asciiTheme="minorHAnsi" w:hAnsiTheme="minorHAnsi"/>
        </w:rPr>
        <w:t xml:space="preserve"> anticipate developmental outcomes, evolutionary pathways, or regulatory network changes.</w:t>
      </w:r>
    </w:p>
    <w:p w14:paraId="46DB9A4C" w14:textId="01872222" w:rsidR="00511B2D" w:rsidRPr="00511B2D" w:rsidRDefault="00511B2D" w:rsidP="00511B2D">
      <w:pPr>
        <w:pStyle w:val="NormalWeb"/>
        <w:rPr>
          <w:rFonts w:asciiTheme="minorHAnsi" w:hAnsiTheme="minorHAnsi"/>
        </w:rPr>
      </w:pPr>
      <w:r w:rsidRPr="00511B2D">
        <w:rPr>
          <w:rFonts w:asciiTheme="minorHAnsi" w:hAnsiTheme="minorHAnsi"/>
        </w:rPr>
        <w:t>This vision is not limited to butterflies. By connecting advances in AI with fields across biology</w:t>
      </w:r>
      <w:r>
        <w:rPr>
          <w:rFonts w:asciiTheme="minorHAnsi" w:hAnsiTheme="minorHAnsi"/>
        </w:rPr>
        <w:t xml:space="preserve">, </w:t>
      </w:r>
      <w:r w:rsidRPr="00511B2D">
        <w:rPr>
          <w:rFonts w:asciiTheme="minorHAnsi" w:hAnsiTheme="minorHAnsi"/>
        </w:rPr>
        <w:t>we will create tools that are</w:t>
      </w:r>
      <w:r w:rsidRPr="00511B2D">
        <w:rPr>
          <w:rFonts w:asciiTheme="minorHAnsi" w:hAnsiTheme="minorHAnsi"/>
          <w:b/>
          <w:bCs/>
        </w:rPr>
        <w:t xml:space="preserve"> </w:t>
      </w:r>
      <w:r w:rsidRPr="00511B2D">
        <w:rPr>
          <w:rStyle w:val="Strong"/>
          <w:rFonts w:asciiTheme="minorHAnsi" w:eastAsiaTheme="majorEastAsia" w:hAnsiTheme="minorHAnsi"/>
          <w:b w:val="0"/>
          <w:bCs w:val="0"/>
        </w:rPr>
        <w:lastRenderedPageBreak/>
        <w:t>faster</w:t>
      </w:r>
      <w:r>
        <w:rPr>
          <w:rStyle w:val="Strong"/>
          <w:rFonts w:asciiTheme="minorHAnsi" w:eastAsiaTheme="majorEastAsia" w:hAnsiTheme="minorHAnsi"/>
          <w:b w:val="0"/>
          <w:bCs w:val="0"/>
        </w:rPr>
        <w:t xml:space="preserve"> for other fields of research as well. </w:t>
      </w:r>
      <w:r w:rsidRPr="00511B2D">
        <w:rPr>
          <w:rFonts w:asciiTheme="minorHAnsi" w:hAnsiTheme="minorHAnsi"/>
        </w:rPr>
        <w:t xml:space="preserve">In short, we don’t just want AI to analyze data; we want AI to help us </w:t>
      </w:r>
      <w:r w:rsidRPr="00511B2D">
        <w:rPr>
          <w:rStyle w:val="Strong"/>
          <w:rFonts w:asciiTheme="minorHAnsi" w:eastAsiaTheme="majorEastAsia" w:hAnsiTheme="minorHAnsi"/>
          <w:b w:val="0"/>
          <w:bCs w:val="0"/>
        </w:rPr>
        <w:t>predict the rules of life itself</w:t>
      </w:r>
      <w:r w:rsidRPr="00511B2D">
        <w:rPr>
          <w:rFonts w:asciiTheme="minorHAnsi" w:hAnsiTheme="minorHAnsi"/>
          <w:b/>
          <w:bCs/>
        </w:rPr>
        <w:t>.</w:t>
      </w:r>
    </w:p>
    <w:p w14:paraId="07B1670A" w14:textId="77777777" w:rsidR="009371D2" w:rsidRPr="009927C7" w:rsidRDefault="00511B2D" w:rsidP="009371D2">
      <w:pPr>
        <w:pStyle w:val="Heading3"/>
        <w:rPr>
          <w:rFonts w:eastAsia="Times New Roman" w:cs="Times New Roman"/>
          <w:b/>
          <w:bCs/>
          <w:color w:val="215E99" w:themeColor="text2" w:themeTint="BF"/>
          <w:kern w:val="0"/>
          <w14:ligatures w14:val="none"/>
        </w:rPr>
      </w:pPr>
      <w:r>
        <w:rPr>
          <w:rFonts w:ascii="Arial" w:hAnsi="Arial" w:cs="Arial"/>
          <w:color w:val="000000"/>
          <w:sz w:val="20"/>
          <w:szCs w:val="20"/>
        </w:rPr>
        <w:br/>
      </w:r>
      <w:r w:rsidR="009371D2" w:rsidRPr="009927C7">
        <w:rPr>
          <w:rFonts w:eastAsia="Times New Roman" w:cs="Times New Roman"/>
          <w:b/>
          <w:bCs/>
          <w:color w:val="215E99" w:themeColor="text2" w:themeTint="BF"/>
          <w:kern w:val="0"/>
          <w14:ligatures w14:val="none"/>
        </w:rPr>
        <w:t>Wider Outreach Goals</w:t>
      </w:r>
    </w:p>
    <w:p w14:paraId="261F664F" w14:textId="77777777" w:rsidR="009371D2" w:rsidRDefault="009371D2" w:rsidP="009371D2">
      <w:pPr>
        <w:spacing w:before="100" w:beforeAutospacing="1" w:after="100" w:afterAutospacing="1" w:line="240" w:lineRule="auto"/>
        <w:rPr>
          <w:rFonts w:eastAsia="Times New Roman" w:cs="Times New Roman"/>
          <w:kern w:val="0"/>
          <w14:ligatures w14:val="none"/>
        </w:rPr>
      </w:pPr>
      <w:r w:rsidRPr="009371D2">
        <w:rPr>
          <w:rFonts w:eastAsia="Times New Roman" w:cs="Times New Roman"/>
          <w:kern w:val="0"/>
          <w14:ligatures w14:val="none"/>
        </w:rPr>
        <w:t xml:space="preserve">The Blueprint of Life is committed to ensuring that the impact of our science extends far beyond the lab. </w:t>
      </w:r>
      <w:r>
        <w:rPr>
          <w:rFonts w:eastAsia="Times New Roman" w:cs="Times New Roman"/>
          <w:kern w:val="0"/>
          <w14:ligatures w14:val="none"/>
        </w:rPr>
        <w:t xml:space="preserve">Our research </w:t>
      </w:r>
      <w:r w:rsidRPr="009371D2">
        <w:rPr>
          <w:rFonts w:eastAsia="Times New Roman" w:cs="Times New Roman"/>
          <w:kern w:val="0"/>
          <w14:ligatures w14:val="none"/>
        </w:rPr>
        <w:t>provide</w:t>
      </w:r>
      <w:r>
        <w:rPr>
          <w:rFonts w:eastAsia="Times New Roman" w:cs="Times New Roman"/>
          <w:kern w:val="0"/>
          <w14:ligatures w14:val="none"/>
        </w:rPr>
        <w:t>s</w:t>
      </w:r>
      <w:r w:rsidRPr="009371D2">
        <w:rPr>
          <w:rFonts w:eastAsia="Times New Roman" w:cs="Times New Roman"/>
          <w:kern w:val="0"/>
          <w14:ligatures w14:val="none"/>
        </w:rPr>
        <w:t xml:space="preserve"> a powerful entry point for engaging the public in complex ideas like genomics, development, and AI. </w:t>
      </w:r>
    </w:p>
    <w:p w14:paraId="55587481" w14:textId="77777777" w:rsidR="009927C7" w:rsidRDefault="009371D2" w:rsidP="009371D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Within our team we have science outreach specialists whose </w:t>
      </w:r>
      <w:r w:rsidRPr="009371D2">
        <w:rPr>
          <w:rFonts w:eastAsia="Times New Roman" w:cs="Times New Roman"/>
          <w:kern w:val="0"/>
          <w14:ligatures w14:val="none"/>
        </w:rPr>
        <w:t>strategy builds on years of science communication experience</w:t>
      </w:r>
      <w:r>
        <w:rPr>
          <w:rFonts w:eastAsia="Times New Roman" w:cs="Times New Roman"/>
          <w:kern w:val="0"/>
          <w14:ligatures w14:val="none"/>
        </w:rPr>
        <w:t xml:space="preserve"> within</w:t>
      </w:r>
      <w:r w:rsidRPr="009371D2">
        <w:rPr>
          <w:rFonts w:eastAsia="Times New Roman" w:cs="Times New Roman"/>
          <w:kern w:val="0"/>
          <w14:ligatures w14:val="none"/>
        </w:rPr>
        <w:t xml:space="preserve"> Puerto Rico. </w:t>
      </w:r>
      <w:r>
        <w:rPr>
          <w:rFonts w:eastAsia="Times New Roman" w:cs="Times New Roman"/>
          <w:kern w:val="0"/>
          <w14:ligatures w14:val="none"/>
        </w:rPr>
        <w:t xml:space="preserve">We especially would like to appeal to young students who take up an interest in science. </w:t>
      </w:r>
      <w:r w:rsidRPr="009371D2">
        <w:rPr>
          <w:rFonts w:eastAsia="Times New Roman" w:cs="Times New Roman"/>
          <w:kern w:val="0"/>
          <w14:ligatures w14:val="none"/>
        </w:rPr>
        <w:t>We will host K–12 visits to our butterfly rearing facility (4 per year)</w:t>
      </w:r>
      <w:r>
        <w:rPr>
          <w:rFonts w:eastAsia="Times New Roman" w:cs="Times New Roman"/>
          <w:kern w:val="0"/>
          <w14:ligatures w14:val="none"/>
        </w:rPr>
        <w:t xml:space="preserve">. It would be an opportunity to introduce students </w:t>
      </w:r>
      <w:r w:rsidRPr="009371D2">
        <w:rPr>
          <w:rFonts w:eastAsia="Times New Roman" w:cs="Times New Roman"/>
          <w:kern w:val="0"/>
          <w14:ligatures w14:val="none"/>
        </w:rPr>
        <w:t>and teachers to concepts of development, adaptation, and CRISPR as a tool for discovery.</w:t>
      </w:r>
    </w:p>
    <w:p w14:paraId="3BCAA8E6" w14:textId="203CC2E9" w:rsidR="009371D2" w:rsidRPr="009371D2" w:rsidRDefault="009371D2" w:rsidP="009371D2">
      <w:pPr>
        <w:spacing w:before="100" w:beforeAutospacing="1" w:after="100" w:afterAutospacing="1" w:line="240" w:lineRule="auto"/>
        <w:rPr>
          <w:rFonts w:eastAsia="Times New Roman" w:cs="Times New Roman"/>
          <w:kern w:val="0"/>
          <w14:ligatures w14:val="none"/>
        </w:rPr>
      </w:pPr>
      <w:r w:rsidRPr="009371D2">
        <w:rPr>
          <w:rFonts w:eastAsia="Times New Roman" w:cs="Times New Roman"/>
          <w:kern w:val="0"/>
          <w14:ligatures w14:val="none"/>
        </w:rPr>
        <w:t xml:space="preserve"> In partnership with San Juan educators, we will co-create curriculum materials</w:t>
      </w:r>
      <w:r w:rsidR="009927C7">
        <w:rPr>
          <w:rFonts w:eastAsia="Times New Roman" w:cs="Times New Roman"/>
          <w:kern w:val="0"/>
          <w14:ligatures w14:val="none"/>
        </w:rPr>
        <w:t xml:space="preserve"> with our team science filmmaker.  Media like v</w:t>
      </w:r>
      <w:r w:rsidRPr="009371D2">
        <w:rPr>
          <w:rFonts w:eastAsia="Times New Roman" w:cs="Times New Roman"/>
          <w:kern w:val="0"/>
          <w14:ligatures w14:val="none"/>
        </w:rPr>
        <w:t xml:space="preserve">ideos, </w:t>
      </w:r>
      <w:r w:rsidR="009927C7">
        <w:rPr>
          <w:rFonts w:eastAsia="Times New Roman" w:cs="Times New Roman"/>
          <w:kern w:val="0"/>
          <w14:ligatures w14:val="none"/>
        </w:rPr>
        <w:t>posters</w:t>
      </w:r>
      <w:r w:rsidRPr="009371D2">
        <w:rPr>
          <w:rFonts w:eastAsia="Times New Roman" w:cs="Times New Roman"/>
          <w:kern w:val="0"/>
          <w14:ligatures w14:val="none"/>
        </w:rPr>
        <w:t>, and classroom resources</w:t>
      </w:r>
      <w:r w:rsidR="009927C7">
        <w:rPr>
          <w:rFonts w:eastAsia="Times New Roman" w:cs="Times New Roman"/>
          <w:kern w:val="0"/>
          <w14:ligatures w14:val="none"/>
        </w:rPr>
        <w:t xml:space="preserve">, </w:t>
      </w:r>
      <w:r w:rsidRPr="009371D2">
        <w:rPr>
          <w:rFonts w:eastAsia="Times New Roman" w:cs="Times New Roman"/>
          <w:kern w:val="0"/>
          <w14:ligatures w14:val="none"/>
        </w:rPr>
        <w:t>that bring cutting-edge biology into schools. Beyond the classroom, we will produce</w:t>
      </w:r>
      <w:r w:rsidR="009927C7">
        <w:rPr>
          <w:rFonts w:eastAsia="Times New Roman" w:cs="Times New Roman"/>
          <w:b/>
          <w:bCs/>
          <w:kern w:val="0"/>
          <w14:ligatures w14:val="none"/>
        </w:rPr>
        <w:t xml:space="preserve"> </w:t>
      </w:r>
      <w:r w:rsidR="009927C7" w:rsidRPr="009927C7">
        <w:rPr>
          <w:rFonts w:eastAsia="Times New Roman" w:cs="Times New Roman"/>
          <w:kern w:val="0"/>
          <w14:ligatures w14:val="none"/>
        </w:rPr>
        <w:t>university level media</w:t>
      </w:r>
      <w:r w:rsidRPr="009371D2">
        <w:rPr>
          <w:rFonts w:eastAsia="Times New Roman" w:cs="Times New Roman"/>
          <w:kern w:val="0"/>
          <w14:ligatures w14:val="none"/>
        </w:rPr>
        <w:t xml:space="preserve">, including podcasts, radio programs, and videos, showcasing </w:t>
      </w:r>
      <w:r w:rsidR="009927C7">
        <w:rPr>
          <w:rFonts w:eastAsia="Times New Roman" w:cs="Times New Roman"/>
          <w:kern w:val="0"/>
          <w14:ligatures w14:val="none"/>
        </w:rPr>
        <w:t xml:space="preserve">the more difficult </w:t>
      </w:r>
      <w:r w:rsidRPr="009371D2">
        <w:rPr>
          <w:rFonts w:eastAsia="Times New Roman" w:cs="Times New Roman"/>
          <w:kern w:val="0"/>
          <w14:ligatures w14:val="none"/>
        </w:rPr>
        <w:t xml:space="preserve">science and human stories behind it. These initiatives will complement our open-access data platforms and genome resources, ensuring that our findings are not </w:t>
      </w:r>
      <w:r w:rsidR="009927C7">
        <w:rPr>
          <w:rFonts w:eastAsia="Times New Roman" w:cs="Times New Roman"/>
          <w:kern w:val="0"/>
          <w14:ligatures w14:val="none"/>
        </w:rPr>
        <w:t xml:space="preserve">just limited to </w:t>
      </w:r>
      <w:r w:rsidRPr="009371D2">
        <w:rPr>
          <w:rFonts w:eastAsia="Times New Roman" w:cs="Times New Roman"/>
          <w:kern w:val="0"/>
          <w14:ligatures w14:val="none"/>
        </w:rPr>
        <w:t>scientists but also made accessible to the wider public.</w:t>
      </w:r>
    </w:p>
    <w:p w14:paraId="68BE5738" w14:textId="18E921F6" w:rsidR="009371D2" w:rsidRPr="009371D2" w:rsidRDefault="009371D2" w:rsidP="009371D2">
      <w:pPr>
        <w:spacing w:before="100" w:beforeAutospacing="1" w:after="100" w:afterAutospacing="1" w:line="240" w:lineRule="auto"/>
        <w:rPr>
          <w:rFonts w:eastAsia="Times New Roman" w:cs="Times New Roman"/>
          <w:kern w:val="0"/>
          <w14:ligatures w14:val="none"/>
        </w:rPr>
      </w:pPr>
      <w:r w:rsidRPr="009371D2">
        <w:rPr>
          <w:rFonts w:eastAsia="Times New Roman" w:cs="Times New Roman"/>
          <w:kern w:val="0"/>
          <w14:ligatures w14:val="none"/>
        </w:rPr>
        <w:t xml:space="preserve">Looking ahead, our long-term vision is to establish a Science &amp; Technology Center in Puerto Rico within seven years. This center will serve as a hub for developmental biology research, with direct ties to education and community engagement. Crucially, it will also create new career opportunities </w:t>
      </w:r>
      <w:r w:rsidR="009927C7">
        <w:rPr>
          <w:rFonts w:eastAsia="Times New Roman" w:cs="Times New Roman"/>
          <w:kern w:val="0"/>
          <w14:ligatures w14:val="none"/>
        </w:rPr>
        <w:t xml:space="preserve">for </w:t>
      </w:r>
      <w:r w:rsidRPr="009371D2">
        <w:rPr>
          <w:rFonts w:eastAsia="Times New Roman" w:cs="Times New Roman"/>
          <w:kern w:val="0"/>
          <w14:ligatures w14:val="none"/>
        </w:rPr>
        <w:t>local Puerto Ricans</w:t>
      </w:r>
      <w:r w:rsidR="009927C7">
        <w:rPr>
          <w:rFonts w:eastAsia="Times New Roman" w:cs="Times New Roman"/>
          <w:kern w:val="0"/>
          <w14:ligatures w14:val="none"/>
        </w:rPr>
        <w:t xml:space="preserve">. </w:t>
      </w:r>
      <w:r w:rsidRPr="009371D2">
        <w:rPr>
          <w:rFonts w:eastAsia="Times New Roman" w:cs="Times New Roman"/>
          <w:kern w:val="0"/>
          <w14:ligatures w14:val="none"/>
        </w:rPr>
        <w:t>By training students through our outreach and workforce development programs today, and providing stable, high-skilled jobs tomorrow, we aim to ensure that the Blueprint of Life contributes not only to global science but also to Puerto Rico’s next generation of STEM leaders.</w:t>
      </w:r>
    </w:p>
    <w:p w14:paraId="21B62333" w14:textId="6924ED1D" w:rsidR="00511B2D" w:rsidRDefault="00511B2D" w:rsidP="00511B2D">
      <w:pPr>
        <w:pStyle w:val="NormalWeb"/>
        <w:spacing w:before="240" w:beforeAutospacing="0" w:after="240" w:afterAutospacing="0"/>
        <w:textAlignment w:val="baseline"/>
        <w:rPr>
          <w:rFonts w:ascii="Arial" w:hAnsi="Arial" w:cs="Arial"/>
          <w:color w:val="000000"/>
          <w:sz w:val="20"/>
          <w:szCs w:val="20"/>
        </w:rPr>
      </w:pPr>
      <w:r>
        <w:rPr>
          <w:rFonts w:ascii="Arial" w:hAnsi="Arial" w:cs="Arial"/>
          <w:color w:val="000000"/>
          <w:sz w:val="20"/>
          <w:szCs w:val="20"/>
        </w:rPr>
        <w:lastRenderedPageBreak/>
        <w:br/>
      </w:r>
    </w:p>
    <w:p w14:paraId="3E668DA3" w14:textId="6371306B" w:rsidR="00511B2D" w:rsidRDefault="00511B2D" w:rsidP="00FA3384">
      <w:pPr>
        <w:pStyle w:val="NormalWeb"/>
        <w:rPr>
          <w:rFonts w:asciiTheme="minorHAnsi" w:hAnsiTheme="minorHAnsi"/>
        </w:rPr>
      </w:pPr>
    </w:p>
    <w:p w14:paraId="3725BD9E" w14:textId="77777777" w:rsidR="00FA3384" w:rsidRPr="00FA3384" w:rsidRDefault="00FA3384" w:rsidP="00FA3384">
      <w:pPr>
        <w:pStyle w:val="NormalWeb"/>
        <w:rPr>
          <w:rFonts w:asciiTheme="minorHAnsi" w:hAnsiTheme="minorHAnsi"/>
        </w:rPr>
      </w:pPr>
    </w:p>
    <w:p w14:paraId="0BA14AC1" w14:textId="77777777" w:rsidR="007E7067" w:rsidRPr="007E7067" w:rsidRDefault="007E7067" w:rsidP="007E7067">
      <w:pPr>
        <w:spacing w:after="0" w:line="240" w:lineRule="auto"/>
        <w:rPr>
          <w:rFonts w:eastAsia="Times New Roman" w:cs="Arial"/>
          <w:kern w:val="0"/>
          <w14:ligatures w14:val="none"/>
        </w:rPr>
      </w:pPr>
    </w:p>
    <w:p w14:paraId="6AD0A185" w14:textId="77777777" w:rsidR="00BC5700" w:rsidRPr="00FA3384" w:rsidRDefault="00BC5700">
      <w:pPr>
        <w:rPr>
          <w:rFonts w:cs="Arial"/>
        </w:rPr>
      </w:pPr>
    </w:p>
    <w:sectPr w:rsidR="00BC5700" w:rsidRPr="00FA3384" w:rsidSect="009927C7">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3A34"/>
    <w:multiLevelType w:val="multilevel"/>
    <w:tmpl w:val="21A0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530A2"/>
    <w:multiLevelType w:val="multilevel"/>
    <w:tmpl w:val="DFC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82242"/>
    <w:multiLevelType w:val="multilevel"/>
    <w:tmpl w:val="125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86364">
    <w:abstractNumId w:val="2"/>
  </w:num>
  <w:num w:numId="2" w16cid:durableId="1603491066">
    <w:abstractNumId w:val="0"/>
  </w:num>
  <w:num w:numId="3" w16cid:durableId="76199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67"/>
    <w:rsid w:val="00402C49"/>
    <w:rsid w:val="00511B2D"/>
    <w:rsid w:val="00697451"/>
    <w:rsid w:val="00745AB0"/>
    <w:rsid w:val="007E7067"/>
    <w:rsid w:val="009371D2"/>
    <w:rsid w:val="009927C7"/>
    <w:rsid w:val="009C7089"/>
    <w:rsid w:val="00BC5700"/>
    <w:rsid w:val="00D000F1"/>
    <w:rsid w:val="00FA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FCDDE"/>
  <w15:chartTrackingRefBased/>
  <w15:docId w15:val="{60BF156C-2A77-9840-837B-EF55128C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7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7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7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7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067"/>
    <w:rPr>
      <w:rFonts w:eastAsiaTheme="majorEastAsia" w:cstheme="majorBidi"/>
      <w:color w:val="272727" w:themeColor="text1" w:themeTint="D8"/>
    </w:rPr>
  </w:style>
  <w:style w:type="paragraph" w:styleId="Title">
    <w:name w:val="Title"/>
    <w:basedOn w:val="Normal"/>
    <w:next w:val="Normal"/>
    <w:link w:val="TitleChar"/>
    <w:uiPriority w:val="10"/>
    <w:qFormat/>
    <w:rsid w:val="007E7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067"/>
    <w:pPr>
      <w:spacing w:before="160"/>
      <w:jc w:val="center"/>
    </w:pPr>
    <w:rPr>
      <w:i/>
      <w:iCs/>
      <w:color w:val="404040" w:themeColor="text1" w:themeTint="BF"/>
    </w:rPr>
  </w:style>
  <w:style w:type="character" w:customStyle="1" w:styleId="QuoteChar">
    <w:name w:val="Quote Char"/>
    <w:basedOn w:val="DefaultParagraphFont"/>
    <w:link w:val="Quote"/>
    <w:uiPriority w:val="29"/>
    <w:rsid w:val="007E7067"/>
    <w:rPr>
      <w:i/>
      <w:iCs/>
      <w:color w:val="404040" w:themeColor="text1" w:themeTint="BF"/>
    </w:rPr>
  </w:style>
  <w:style w:type="paragraph" w:styleId="ListParagraph">
    <w:name w:val="List Paragraph"/>
    <w:basedOn w:val="Normal"/>
    <w:uiPriority w:val="34"/>
    <w:qFormat/>
    <w:rsid w:val="007E7067"/>
    <w:pPr>
      <w:ind w:left="720"/>
      <w:contextualSpacing/>
    </w:pPr>
  </w:style>
  <w:style w:type="character" w:styleId="IntenseEmphasis">
    <w:name w:val="Intense Emphasis"/>
    <w:basedOn w:val="DefaultParagraphFont"/>
    <w:uiPriority w:val="21"/>
    <w:qFormat/>
    <w:rsid w:val="007E7067"/>
    <w:rPr>
      <w:i/>
      <w:iCs/>
      <w:color w:val="0F4761" w:themeColor="accent1" w:themeShade="BF"/>
    </w:rPr>
  </w:style>
  <w:style w:type="paragraph" w:styleId="IntenseQuote">
    <w:name w:val="Intense Quote"/>
    <w:basedOn w:val="Normal"/>
    <w:next w:val="Normal"/>
    <w:link w:val="IntenseQuoteChar"/>
    <w:uiPriority w:val="30"/>
    <w:qFormat/>
    <w:rsid w:val="007E7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067"/>
    <w:rPr>
      <w:i/>
      <w:iCs/>
      <w:color w:val="0F4761" w:themeColor="accent1" w:themeShade="BF"/>
    </w:rPr>
  </w:style>
  <w:style w:type="character" w:styleId="IntenseReference">
    <w:name w:val="Intense Reference"/>
    <w:basedOn w:val="DefaultParagraphFont"/>
    <w:uiPriority w:val="32"/>
    <w:qFormat/>
    <w:rsid w:val="007E7067"/>
    <w:rPr>
      <w:b/>
      <w:bCs/>
      <w:smallCaps/>
      <w:color w:val="0F4761" w:themeColor="accent1" w:themeShade="BF"/>
      <w:spacing w:val="5"/>
    </w:rPr>
  </w:style>
  <w:style w:type="paragraph" w:styleId="NormalWeb">
    <w:name w:val="Normal (Web)"/>
    <w:basedOn w:val="Normal"/>
    <w:uiPriority w:val="99"/>
    <w:unhideWhenUsed/>
    <w:rsid w:val="007E706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42">
    <w:name w:val="color_42"/>
    <w:basedOn w:val="DefaultParagraphFont"/>
    <w:rsid w:val="007E7067"/>
  </w:style>
  <w:style w:type="character" w:styleId="Emphasis">
    <w:name w:val="Emphasis"/>
    <w:basedOn w:val="DefaultParagraphFont"/>
    <w:uiPriority w:val="20"/>
    <w:qFormat/>
    <w:rsid w:val="00FA3384"/>
    <w:rPr>
      <w:i/>
      <w:iCs/>
    </w:rPr>
  </w:style>
  <w:style w:type="character" w:styleId="Strong">
    <w:name w:val="Strong"/>
    <w:basedOn w:val="DefaultParagraphFont"/>
    <w:uiPriority w:val="22"/>
    <w:qFormat/>
    <w:rsid w:val="00FA3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 Piel Monteiro</dc:creator>
  <cp:keywords/>
  <dc:description/>
  <cp:lastModifiedBy>Florence M Piel Monteiro</cp:lastModifiedBy>
  <cp:revision>1</cp:revision>
  <dcterms:created xsi:type="dcterms:W3CDTF">2025-08-22T18:19:00Z</dcterms:created>
  <dcterms:modified xsi:type="dcterms:W3CDTF">2025-08-22T20:46:00Z</dcterms:modified>
</cp:coreProperties>
</file>